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Б1.О.04.12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Б1.О.04.12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технологии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различным типам запросов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Б1.О.04.12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Информационно-методическое обеспечение надзорной деятельности МЧС России</w:t>
            </w:r>
          </w:p>
          <w:p>
            <w:pPr>
              <w:jc w:val="center"/>
              <w:spacing w:after="0" w:line="240" w:lineRule="auto"/>
              <w:rPr>
                <w:sz w:val="22"/>
                <w:szCs w:val="22"/>
              </w:rPr>
            </w:pPr>
            <w:r>
              <w:rPr>
                <w:rFonts w:ascii="Times New Roman" w:hAnsi="Times New Roman" w:cs="Times New Roman"/>
                <w:color w:val="#000000"/>
                <w:sz w:val="22"/>
                <w:szCs w:val="22"/>
              </w:rPr>
              <w:t> Менеджмент в сфере деятельности аварийно- спасательных служб и формирований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УК-10,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536.5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Кредит, его сущность и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государственного кредита.</w:t>
            </w:r>
          </w:p>
          <w:p>
            <w:pPr>
              <w:jc w:val="both"/>
              <w:spacing w:after="0" w:line="240" w:lineRule="auto"/>
              <w:rPr>
                <w:sz w:val="24"/>
                <w:szCs w:val="24"/>
              </w:rPr>
            </w:pPr>
            <w:r>
              <w:rPr>
                <w:rFonts w:ascii="Times New Roman" w:hAnsi="Times New Roman" w:cs="Times New Roman"/>
                <w:color w:val="#000000"/>
                <w:sz w:val="24"/>
                <w:szCs w:val="24"/>
              </w:rPr>
              <w:t> 2.	Функции государственного кредита: распределительная, регулирующая, контрольная.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Банковская система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w:t>
            </w:r>
          </w:p>
          <w:p>
            <w:pPr>
              <w:jc w:val="both"/>
              <w:spacing w:after="0" w:line="240" w:lineRule="auto"/>
              <w:rPr>
                <w:sz w:val="24"/>
                <w:szCs w:val="24"/>
              </w:rPr>
            </w:pPr>
            <w:r>
              <w:rPr>
                <w:rFonts w:ascii="Times New Roman" w:hAnsi="Times New Roman" w:cs="Times New Roman"/>
                <w:color w:val="#000000"/>
                <w:sz w:val="24"/>
                <w:szCs w:val="24"/>
              </w:rPr>
              <w:t> 2.	Банковская система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государственными финансами.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2.	Субъекты управления финансами, объекты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Органы управления финансами.</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 межбюджетные отношения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бюджетное устройство РФ</w:t>
            </w:r>
          </w:p>
          <w:p>
            <w:pPr>
              <w:jc w:val="both"/>
              <w:spacing w:after="0" w:line="240" w:lineRule="auto"/>
              <w:rPr>
                <w:sz w:val="24"/>
                <w:szCs w:val="24"/>
              </w:rPr>
            </w:pPr>
            <w:r>
              <w:rPr>
                <w:rFonts w:ascii="Times New Roman" w:hAnsi="Times New Roman" w:cs="Times New Roman"/>
                <w:color w:val="#000000"/>
                <w:sz w:val="24"/>
                <w:szCs w:val="24"/>
              </w:rPr>
              <w:t> 2.	Бюджетный кодекс</w:t>
            </w:r>
          </w:p>
          <w:p>
            <w:pPr>
              <w:jc w:val="both"/>
              <w:spacing w:after="0" w:line="240" w:lineRule="auto"/>
              <w:rPr>
                <w:sz w:val="24"/>
                <w:szCs w:val="24"/>
              </w:rPr>
            </w:pPr>
            <w:r>
              <w:rPr>
                <w:rFonts w:ascii="Times New Roman" w:hAnsi="Times New Roman" w:cs="Times New Roman"/>
                <w:color w:val="#000000"/>
                <w:sz w:val="24"/>
                <w:szCs w:val="24"/>
              </w:rPr>
              <w:t> 3.	Структура бюджетной системы РФ</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бюджет. Бюджеты субъектов РФ</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финансы. Структура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2.	Федеральные финансы</w:t>
            </w:r>
          </w:p>
          <w:p>
            <w:pPr>
              <w:jc w:val="both"/>
              <w:spacing w:after="0" w:line="240" w:lineRule="auto"/>
              <w:rPr>
                <w:sz w:val="24"/>
                <w:szCs w:val="24"/>
              </w:rPr>
            </w:pPr>
            <w:r>
              <w:rPr>
                <w:rFonts w:ascii="Times New Roman" w:hAnsi="Times New Roman" w:cs="Times New Roman"/>
                <w:color w:val="#000000"/>
                <w:sz w:val="24"/>
                <w:szCs w:val="24"/>
              </w:rPr>
              <w:t> 3.	Региональные финансы</w:t>
            </w:r>
          </w:p>
          <w:p>
            <w:pPr>
              <w:jc w:val="both"/>
              <w:spacing w:after="0" w:line="240" w:lineRule="auto"/>
              <w:rPr>
                <w:sz w:val="24"/>
                <w:szCs w:val="24"/>
              </w:rPr>
            </w:pPr>
            <w:r>
              <w:rPr>
                <w:rFonts w:ascii="Times New Roman" w:hAnsi="Times New Roman" w:cs="Times New Roman"/>
                <w:color w:val="#000000"/>
                <w:sz w:val="24"/>
                <w:szCs w:val="24"/>
              </w:rPr>
              <w:t> 4.	Федеральный бюджет РФ</w:t>
            </w:r>
          </w:p>
          <w:p>
            <w:pPr>
              <w:jc w:val="both"/>
              <w:spacing w:after="0" w:line="240" w:lineRule="auto"/>
              <w:rPr>
                <w:sz w:val="24"/>
                <w:szCs w:val="24"/>
              </w:rPr>
            </w:pPr>
            <w:r>
              <w:rPr>
                <w:rFonts w:ascii="Times New Roman" w:hAnsi="Times New Roman" w:cs="Times New Roman"/>
                <w:color w:val="#000000"/>
                <w:sz w:val="24"/>
                <w:szCs w:val="24"/>
              </w:rPr>
              <w:t> 5.	Формирование доходов федерального бюджета РФ</w:t>
            </w:r>
          </w:p>
          <w:p>
            <w:pPr>
              <w:jc w:val="both"/>
              <w:spacing w:after="0" w:line="240" w:lineRule="auto"/>
              <w:rPr>
                <w:sz w:val="24"/>
                <w:szCs w:val="24"/>
              </w:rPr>
            </w:pPr>
            <w:r>
              <w:rPr>
                <w:rFonts w:ascii="Times New Roman" w:hAnsi="Times New Roman" w:cs="Times New Roman"/>
                <w:color w:val="#000000"/>
                <w:sz w:val="24"/>
                <w:szCs w:val="24"/>
              </w:rPr>
              <w:t> 6.	Условия возникновения расходных обязательств</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муниципальных финансов</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Муниципальные финансы: сущность, функции</w:t>
            </w:r>
          </w:p>
          <w:p>
            <w:pPr>
              <w:jc w:val="both"/>
              <w:spacing w:after="0" w:line="240" w:lineRule="auto"/>
              <w:rPr>
                <w:sz w:val="24"/>
                <w:szCs w:val="24"/>
              </w:rPr>
            </w:pPr>
            <w:r>
              <w:rPr>
                <w:rFonts w:ascii="Times New Roman" w:hAnsi="Times New Roman" w:cs="Times New Roman"/>
                <w:color w:val="#000000"/>
                <w:sz w:val="24"/>
                <w:szCs w:val="24"/>
              </w:rPr>
              <w:t> 2.	Причины обособленности муниципальных финансов от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3.	Роль муниципальных финансов в развитии муниципального образования</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финансовый контроль</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виды, формы и методы проведения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Основные виды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Органы финансового контроля на разных уровнях управления и их функции.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2024-2025_ФГОС3++2024_Бак-ОЗФО-ГМУ(ПБЧС)(24)_plx_Государственные и муниципальные финансы</dc:title>
  <dc:creator>FastReport.NET</dc:creator>
</cp:coreProperties>
</file>